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i/>
          <w:iCs/>
          <w:color w:val="0E002D"/>
          <w:sz w:val="48"/>
          <w:szCs w:val="48"/>
        </w:rPr>
      </w:pPr>
      <w:bookmarkStart w:id="0" w:name="_GoBack"/>
      <w:bookmarkEnd w:id="0"/>
      <w:r>
        <w:rPr>
          <w:rFonts w:ascii="Cambria" w:hAnsi="Cambria"/>
          <w:i/>
          <w:iCs/>
          <w:color w:val="0E002D"/>
          <w:sz w:val="48"/>
          <w:szCs w:val="48"/>
        </w:rPr>
        <w:t>CROSS TALK~ A</w:t>
      </w:r>
      <w:r w:rsidR="00714AA0">
        <w:rPr>
          <w:rFonts w:ascii="Cambria" w:hAnsi="Cambria"/>
          <w:i/>
          <w:iCs/>
          <w:color w:val="0E002D"/>
          <w:sz w:val="48"/>
          <w:szCs w:val="48"/>
        </w:rPr>
        <w:t xml:space="preserve"> Day School</w:t>
      </w:r>
    </w:p>
    <w:p w:rsidR="00714AA0" w:rsidRP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16"/>
          <w:szCs w:val="16"/>
        </w:rPr>
      </w:pPr>
    </w:p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proofErr w:type="gramStart"/>
      <w:r>
        <w:rPr>
          <w:rFonts w:ascii="Cambria" w:hAnsi="Cambria"/>
          <w:color w:val="0E002D"/>
          <w:sz w:val="32"/>
          <w:szCs w:val="32"/>
        </w:rPr>
        <w:t>f</w:t>
      </w:r>
      <w:r w:rsidR="00714AA0">
        <w:rPr>
          <w:rFonts w:ascii="Cambria" w:hAnsi="Cambria"/>
          <w:color w:val="0E002D"/>
          <w:sz w:val="32"/>
          <w:szCs w:val="32"/>
        </w:rPr>
        <w:t>or</w:t>
      </w:r>
      <w:proofErr w:type="gramEnd"/>
      <w:r w:rsidR="00714AA0">
        <w:rPr>
          <w:rFonts w:ascii="Cambria" w:hAnsi="Cambria"/>
          <w:color w:val="0E002D"/>
          <w:sz w:val="32"/>
          <w:szCs w:val="32"/>
        </w:rPr>
        <w:t xml:space="preserve"> students of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 xml:space="preserve">Catholic University of America </w:t>
      </w:r>
    </w:p>
    <w:p w:rsidR="00714AA0" w:rsidRDefault="00714AA0" w:rsidP="00956201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proofErr w:type="gramStart"/>
      <w:r>
        <w:rPr>
          <w:rFonts w:ascii="Cambria" w:hAnsi="Cambria"/>
          <w:color w:val="0E002D"/>
          <w:sz w:val="32"/>
          <w:szCs w:val="32"/>
        </w:rPr>
        <w:t>and</w:t>
      </w:r>
      <w:proofErr w:type="gramEnd"/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George Washington University</w:t>
      </w:r>
    </w:p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noProof/>
          <w:color w:val="0E002D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98425</wp:posOffset>
            </wp:positionV>
            <wp:extent cx="1657350" cy="1460716"/>
            <wp:effectExtent l="19050" t="0" r="0" b="0"/>
            <wp:wrapNone/>
            <wp:docPr id="2" name="Picture 0" descr="Cross white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white bkg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62" cy="145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 xml:space="preserve">In the Founders’ Room of 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DUMBARTON OAKS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MARCH 26, 2011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9:30 am-5</w:t>
      </w:r>
      <w:proofErr w:type="gramStart"/>
      <w:r>
        <w:rPr>
          <w:rFonts w:ascii="Cambria" w:hAnsi="Cambria"/>
          <w:color w:val="0E002D"/>
          <w:sz w:val="32"/>
          <w:szCs w:val="32"/>
        </w:rPr>
        <w:t>:15</w:t>
      </w:r>
      <w:proofErr w:type="gramEnd"/>
      <w:r>
        <w:rPr>
          <w:rFonts w:ascii="Cambria" w:hAnsi="Cambria"/>
          <w:color w:val="0E002D"/>
          <w:sz w:val="32"/>
          <w:szCs w:val="32"/>
        </w:rPr>
        <w:t xml:space="preserve"> pm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</w:p>
    <w:p w:rsidR="00956201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PROGRAM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9:30    </w:t>
      </w:r>
      <w:r>
        <w:rPr>
          <w:rFonts w:ascii="Cambria" w:hAnsi="Cambria"/>
          <w:color w:val="0E002D"/>
          <w:sz w:val="24"/>
          <w:szCs w:val="24"/>
        </w:rPr>
        <w:tab/>
        <w:t xml:space="preserve">Introduction: </w:t>
      </w:r>
      <w:proofErr w:type="spellStart"/>
      <w:r>
        <w:rPr>
          <w:rFonts w:ascii="Cambria" w:hAnsi="Cambria"/>
          <w:color w:val="0E002D"/>
          <w:sz w:val="24"/>
          <w:szCs w:val="24"/>
        </w:rPr>
        <w:t>Örgü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E002D"/>
          <w:sz w:val="24"/>
          <w:szCs w:val="24"/>
        </w:rPr>
        <w:t>Dalgiç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and Jack </w:t>
      </w:r>
      <w:proofErr w:type="spellStart"/>
      <w:r>
        <w:rPr>
          <w:rFonts w:ascii="Cambria" w:hAnsi="Cambria"/>
          <w:color w:val="0E002D"/>
          <w:sz w:val="24"/>
          <w:szCs w:val="24"/>
        </w:rPr>
        <w:t>Tannous</w:t>
      </w:r>
      <w:proofErr w:type="spellEnd"/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10:00</w:t>
      </w:r>
      <w:r>
        <w:rPr>
          <w:rFonts w:ascii="Cambria" w:hAnsi="Cambria"/>
          <w:color w:val="0E002D"/>
          <w:sz w:val="24"/>
          <w:szCs w:val="24"/>
        </w:rPr>
        <w:tab/>
        <w:t xml:space="preserve">Gudrun </w:t>
      </w:r>
      <w:proofErr w:type="spellStart"/>
      <w:r>
        <w:rPr>
          <w:rFonts w:ascii="Cambria" w:hAnsi="Cambria"/>
          <w:color w:val="0E002D"/>
          <w:sz w:val="24"/>
          <w:szCs w:val="24"/>
        </w:rPr>
        <w:t>Bühl</w:t>
      </w:r>
      <w:proofErr w:type="spellEnd"/>
      <w:r>
        <w:rPr>
          <w:rFonts w:ascii="Cambria" w:hAnsi="Cambria"/>
          <w:color w:val="0E002D"/>
          <w:sz w:val="24"/>
          <w:szCs w:val="24"/>
        </w:rPr>
        <w:t>, “The Cross Exhibit at Dumbarton Oaks”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10:30-11.30   Gallery Tour by Gudrun </w:t>
      </w:r>
      <w:proofErr w:type="spellStart"/>
      <w:r>
        <w:rPr>
          <w:rFonts w:ascii="Cambria" w:hAnsi="Cambria"/>
          <w:color w:val="0E002D"/>
          <w:sz w:val="24"/>
          <w:szCs w:val="24"/>
        </w:rPr>
        <w:t>Bühl</w:t>
      </w:r>
      <w:proofErr w:type="spellEnd"/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11.30-12.00   Coffee Break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12:00  </w:t>
      </w:r>
      <w:r>
        <w:rPr>
          <w:rFonts w:ascii="Cambria" w:hAnsi="Cambria"/>
          <w:color w:val="0E002D"/>
          <w:sz w:val="24"/>
          <w:szCs w:val="24"/>
        </w:rPr>
        <w:tab/>
        <w:t xml:space="preserve">Robin Cormack, “The Cross and </w:t>
      </w:r>
      <w:proofErr w:type="spellStart"/>
      <w:r>
        <w:rPr>
          <w:rFonts w:ascii="Helvetica" w:hAnsi="Helvetica" w:cs="Helvetica"/>
          <w:color w:val="0E002D"/>
          <w:sz w:val="24"/>
          <w:szCs w:val="24"/>
        </w:rPr>
        <w:t>ʻ</w:t>
      </w:r>
      <w:r>
        <w:rPr>
          <w:rFonts w:ascii="Cambria" w:hAnsi="Cambria"/>
          <w:color w:val="0E002D"/>
          <w:sz w:val="24"/>
          <w:szCs w:val="24"/>
        </w:rPr>
        <w:t>iconoclasm-denial</w:t>
      </w:r>
      <w:r>
        <w:rPr>
          <w:rFonts w:ascii="Helvetica" w:hAnsi="Helvetica" w:cs="Helvetica"/>
          <w:color w:val="0E002D"/>
          <w:sz w:val="24"/>
          <w:szCs w:val="24"/>
        </w:rPr>
        <w:t>ʼ</w:t>
      </w:r>
      <w:proofErr w:type="spellEnd"/>
      <w:r>
        <w:rPr>
          <w:rFonts w:ascii="Cambria" w:hAnsi="Cambria"/>
          <w:color w:val="0E002D"/>
          <w:sz w:val="24"/>
          <w:szCs w:val="24"/>
        </w:rPr>
        <w:t>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12:40: </w:t>
      </w:r>
      <w:r>
        <w:rPr>
          <w:rFonts w:ascii="Cambria" w:hAnsi="Cambria"/>
          <w:color w:val="0E002D"/>
          <w:sz w:val="24"/>
          <w:szCs w:val="24"/>
        </w:rPr>
        <w:tab/>
        <w:t>Lunch</w:t>
      </w:r>
    </w:p>
    <w:p w:rsidR="00A85419" w:rsidRDefault="00A85419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1:40:</w:t>
      </w:r>
      <w:r>
        <w:rPr>
          <w:rFonts w:ascii="Cambria" w:hAnsi="Cambria"/>
          <w:color w:val="0E002D"/>
          <w:sz w:val="24"/>
          <w:szCs w:val="24"/>
        </w:rPr>
        <w:tab/>
        <w:t>Group photo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2:00:   </w:t>
      </w:r>
      <w:r>
        <w:rPr>
          <w:rFonts w:ascii="Cambria" w:hAnsi="Cambria"/>
          <w:color w:val="0E002D"/>
          <w:sz w:val="24"/>
          <w:szCs w:val="24"/>
        </w:rPr>
        <w:tab/>
        <w:t>Henry Maguire, “The Cross in Byzantine Painting”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2:40:  </w:t>
      </w:r>
      <w:r>
        <w:rPr>
          <w:rFonts w:ascii="Cambria" w:hAnsi="Cambria"/>
          <w:color w:val="0E002D"/>
          <w:sz w:val="24"/>
          <w:szCs w:val="24"/>
        </w:rPr>
        <w:tab/>
        <w:t xml:space="preserve"> Scott Johnson, “The True Cross in Late Antique and       Byzantine Literature”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3:20:   </w:t>
      </w:r>
      <w:r>
        <w:rPr>
          <w:rFonts w:ascii="Cambria" w:hAnsi="Cambria"/>
          <w:color w:val="0E002D"/>
          <w:sz w:val="24"/>
          <w:szCs w:val="24"/>
        </w:rPr>
        <w:tab/>
        <w:t>Tea Break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4:00:   </w:t>
      </w:r>
      <w:r>
        <w:rPr>
          <w:rFonts w:ascii="Cambria" w:hAnsi="Cambria"/>
          <w:color w:val="0E002D"/>
          <w:sz w:val="24"/>
          <w:szCs w:val="24"/>
        </w:rPr>
        <w:tab/>
        <w:t>Sidney Griffith, “The Cross Between Christianity and Islam”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4:40:   </w:t>
      </w:r>
      <w:r>
        <w:rPr>
          <w:rFonts w:ascii="Cambria" w:hAnsi="Cambria"/>
          <w:color w:val="0E002D"/>
          <w:sz w:val="24"/>
          <w:szCs w:val="24"/>
        </w:rPr>
        <w:tab/>
        <w:t>Round Table Discussion by speakers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5:05:   </w:t>
      </w:r>
      <w:r>
        <w:rPr>
          <w:rFonts w:ascii="Cambria" w:hAnsi="Cambria"/>
          <w:color w:val="0E002D"/>
          <w:sz w:val="24"/>
          <w:szCs w:val="24"/>
        </w:rPr>
        <w:tab/>
        <w:t xml:space="preserve">Concluding Remarks: </w:t>
      </w:r>
      <w:proofErr w:type="spellStart"/>
      <w:r>
        <w:rPr>
          <w:rFonts w:ascii="Cambria" w:hAnsi="Cambria"/>
          <w:color w:val="0E002D"/>
          <w:sz w:val="24"/>
          <w:szCs w:val="24"/>
        </w:rPr>
        <w:t>Örgü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E002D"/>
          <w:sz w:val="24"/>
          <w:szCs w:val="24"/>
        </w:rPr>
        <w:t>Dalgiç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and Jack    </w:t>
      </w:r>
      <w:proofErr w:type="spellStart"/>
      <w:r>
        <w:rPr>
          <w:rFonts w:ascii="Cambria" w:hAnsi="Cambria"/>
          <w:color w:val="0E002D"/>
          <w:sz w:val="24"/>
          <w:szCs w:val="24"/>
        </w:rPr>
        <w:t>Tannous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i/>
          <w:iCs/>
          <w:color w:val="0E002D"/>
          <w:sz w:val="48"/>
          <w:szCs w:val="48"/>
        </w:rPr>
      </w:pPr>
      <w:r>
        <w:rPr>
          <w:rFonts w:ascii="Cambria" w:hAnsi="Cambria"/>
          <w:i/>
          <w:iCs/>
          <w:color w:val="0E002D"/>
          <w:sz w:val="48"/>
          <w:szCs w:val="48"/>
        </w:rPr>
        <w:lastRenderedPageBreak/>
        <w:t>CROSS TALK~A</w:t>
      </w:r>
      <w:r w:rsidR="00714AA0">
        <w:rPr>
          <w:rFonts w:ascii="Cambria" w:hAnsi="Cambria"/>
          <w:i/>
          <w:iCs/>
          <w:color w:val="0E002D"/>
          <w:sz w:val="48"/>
          <w:szCs w:val="48"/>
        </w:rPr>
        <w:t xml:space="preserve"> Day School</w:t>
      </w:r>
    </w:p>
    <w:p w:rsidR="00714AA0" w:rsidRP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16"/>
          <w:szCs w:val="16"/>
        </w:rPr>
      </w:pPr>
    </w:p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proofErr w:type="gramStart"/>
      <w:r>
        <w:rPr>
          <w:rFonts w:ascii="Cambria" w:hAnsi="Cambria"/>
          <w:color w:val="0E002D"/>
          <w:sz w:val="32"/>
          <w:szCs w:val="32"/>
        </w:rPr>
        <w:t>for</w:t>
      </w:r>
      <w:proofErr w:type="gramEnd"/>
      <w:r>
        <w:rPr>
          <w:rFonts w:ascii="Cambria" w:hAnsi="Cambria"/>
          <w:color w:val="0E002D"/>
          <w:sz w:val="32"/>
          <w:szCs w:val="32"/>
        </w:rPr>
        <w:t xml:space="preserve"> </w:t>
      </w:r>
      <w:r w:rsidR="00714AA0">
        <w:rPr>
          <w:rFonts w:ascii="Cambria" w:hAnsi="Cambria"/>
          <w:color w:val="0E002D"/>
          <w:sz w:val="32"/>
          <w:szCs w:val="32"/>
        </w:rPr>
        <w:t xml:space="preserve"> students of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 xml:space="preserve">Catholic University of America </w:t>
      </w:r>
    </w:p>
    <w:p w:rsidR="00714AA0" w:rsidRDefault="00714AA0" w:rsidP="00714AA0">
      <w:pPr>
        <w:autoSpaceDE w:val="0"/>
        <w:autoSpaceDN w:val="0"/>
        <w:spacing w:after="0" w:line="240" w:lineRule="auto"/>
        <w:ind w:firstLine="720"/>
        <w:rPr>
          <w:rFonts w:ascii="Cambria" w:hAnsi="Cambria"/>
          <w:color w:val="0E002D"/>
          <w:sz w:val="32"/>
          <w:szCs w:val="32"/>
        </w:rPr>
      </w:pPr>
      <w:proofErr w:type="gramStart"/>
      <w:r>
        <w:rPr>
          <w:rFonts w:ascii="Cambria" w:hAnsi="Cambria"/>
          <w:color w:val="0E002D"/>
          <w:sz w:val="32"/>
          <w:szCs w:val="32"/>
        </w:rPr>
        <w:t>and</w:t>
      </w:r>
      <w:proofErr w:type="gramEnd"/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George Washington University</w:t>
      </w:r>
    </w:p>
    <w:p w:rsidR="00714AA0" w:rsidRDefault="00956201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noProof/>
          <w:color w:val="0E002D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174625</wp:posOffset>
            </wp:positionV>
            <wp:extent cx="1657350" cy="1463040"/>
            <wp:effectExtent l="19050" t="0" r="0" b="0"/>
            <wp:wrapNone/>
            <wp:docPr id="3" name="Picture 0" descr="Cross white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white bkg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 xml:space="preserve">In the Founders’ Room of 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DUMBARTON OAKS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MARCH 26, 2011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  <w:r>
        <w:rPr>
          <w:rFonts w:ascii="Cambria" w:hAnsi="Cambria"/>
          <w:color w:val="0E002D"/>
          <w:sz w:val="32"/>
          <w:szCs w:val="32"/>
        </w:rPr>
        <w:t>9:30 am-5</w:t>
      </w:r>
      <w:proofErr w:type="gramStart"/>
      <w:r>
        <w:rPr>
          <w:rFonts w:ascii="Cambria" w:hAnsi="Cambria"/>
          <w:color w:val="0E002D"/>
          <w:sz w:val="32"/>
          <w:szCs w:val="32"/>
        </w:rPr>
        <w:t>:15</w:t>
      </w:r>
      <w:proofErr w:type="gramEnd"/>
      <w:r>
        <w:rPr>
          <w:rFonts w:ascii="Cambria" w:hAnsi="Cambria"/>
          <w:color w:val="0E002D"/>
          <w:sz w:val="32"/>
          <w:szCs w:val="32"/>
        </w:rPr>
        <w:t xml:space="preserve"> pm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32"/>
          <w:szCs w:val="32"/>
        </w:rPr>
      </w:pP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PROGRAM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9:30    </w:t>
      </w:r>
      <w:r>
        <w:rPr>
          <w:rFonts w:ascii="Cambria" w:hAnsi="Cambria"/>
          <w:color w:val="0E002D"/>
          <w:sz w:val="24"/>
          <w:szCs w:val="24"/>
        </w:rPr>
        <w:tab/>
        <w:t xml:space="preserve">Introduction: </w:t>
      </w:r>
      <w:proofErr w:type="spellStart"/>
      <w:r>
        <w:rPr>
          <w:rFonts w:ascii="Cambria" w:hAnsi="Cambria"/>
          <w:color w:val="0E002D"/>
          <w:sz w:val="24"/>
          <w:szCs w:val="24"/>
        </w:rPr>
        <w:t>Örgü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E002D"/>
          <w:sz w:val="24"/>
          <w:szCs w:val="24"/>
        </w:rPr>
        <w:t>Dalgiç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and Jack </w:t>
      </w:r>
      <w:proofErr w:type="spellStart"/>
      <w:r>
        <w:rPr>
          <w:rFonts w:ascii="Cambria" w:hAnsi="Cambria"/>
          <w:color w:val="0E002D"/>
          <w:sz w:val="24"/>
          <w:szCs w:val="24"/>
        </w:rPr>
        <w:t>Tannous</w:t>
      </w:r>
      <w:proofErr w:type="spellEnd"/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10:00 </w:t>
      </w:r>
      <w:r>
        <w:rPr>
          <w:rFonts w:ascii="Cambria" w:hAnsi="Cambria"/>
          <w:color w:val="0E002D"/>
          <w:sz w:val="24"/>
          <w:szCs w:val="24"/>
        </w:rPr>
        <w:tab/>
        <w:t xml:space="preserve">Gudrun </w:t>
      </w:r>
      <w:proofErr w:type="spellStart"/>
      <w:r>
        <w:rPr>
          <w:rFonts w:ascii="Cambria" w:hAnsi="Cambria"/>
          <w:color w:val="0E002D"/>
          <w:sz w:val="24"/>
          <w:szCs w:val="24"/>
        </w:rPr>
        <w:t>Bühl</w:t>
      </w:r>
      <w:proofErr w:type="spellEnd"/>
      <w:r>
        <w:rPr>
          <w:rFonts w:ascii="Cambria" w:hAnsi="Cambria"/>
          <w:color w:val="0E002D"/>
          <w:sz w:val="24"/>
          <w:szCs w:val="24"/>
        </w:rPr>
        <w:t>, “The Cross Exhibit at Dumbarton Oaks”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10:30-11.30   Gallery Tour by Gudrun </w:t>
      </w:r>
      <w:proofErr w:type="spellStart"/>
      <w:r>
        <w:rPr>
          <w:rFonts w:ascii="Cambria" w:hAnsi="Cambria"/>
          <w:color w:val="0E002D"/>
          <w:sz w:val="24"/>
          <w:szCs w:val="24"/>
        </w:rPr>
        <w:t>Bühl</w:t>
      </w:r>
      <w:proofErr w:type="spellEnd"/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11.30-12.00   Coffee Break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12:00  </w:t>
      </w:r>
      <w:r>
        <w:rPr>
          <w:rFonts w:ascii="Cambria" w:hAnsi="Cambria"/>
          <w:color w:val="0E002D"/>
          <w:sz w:val="24"/>
          <w:szCs w:val="24"/>
        </w:rPr>
        <w:tab/>
        <w:t xml:space="preserve">Robin Cormack, “The Cross and </w:t>
      </w:r>
      <w:proofErr w:type="spellStart"/>
      <w:r>
        <w:rPr>
          <w:rFonts w:ascii="Helvetica" w:hAnsi="Helvetica" w:cs="Helvetica"/>
          <w:color w:val="0E002D"/>
          <w:sz w:val="24"/>
          <w:szCs w:val="24"/>
        </w:rPr>
        <w:t>ʻ</w:t>
      </w:r>
      <w:r>
        <w:rPr>
          <w:rFonts w:ascii="Cambria" w:hAnsi="Cambria"/>
          <w:color w:val="0E002D"/>
          <w:sz w:val="24"/>
          <w:szCs w:val="24"/>
        </w:rPr>
        <w:t>iconoclasm-denial</w:t>
      </w:r>
      <w:r>
        <w:rPr>
          <w:rFonts w:ascii="Helvetica" w:hAnsi="Helvetica" w:cs="Helvetica"/>
          <w:color w:val="0E002D"/>
          <w:sz w:val="24"/>
          <w:szCs w:val="24"/>
        </w:rPr>
        <w:t>ʼ</w:t>
      </w:r>
      <w:proofErr w:type="spellEnd"/>
      <w:r>
        <w:rPr>
          <w:rFonts w:ascii="Cambria" w:hAnsi="Cambria"/>
          <w:color w:val="0E002D"/>
          <w:sz w:val="24"/>
          <w:szCs w:val="24"/>
        </w:rPr>
        <w:t>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12:40: </w:t>
      </w:r>
      <w:r>
        <w:rPr>
          <w:rFonts w:ascii="Cambria" w:hAnsi="Cambria"/>
          <w:color w:val="0E002D"/>
          <w:sz w:val="24"/>
          <w:szCs w:val="24"/>
        </w:rPr>
        <w:tab/>
        <w:t>Lunch</w:t>
      </w:r>
    </w:p>
    <w:p w:rsidR="00A85419" w:rsidRDefault="00A85419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1:40: </w:t>
      </w:r>
      <w:r>
        <w:rPr>
          <w:rFonts w:ascii="Cambria" w:hAnsi="Cambria"/>
          <w:color w:val="0E002D"/>
          <w:sz w:val="24"/>
          <w:szCs w:val="24"/>
        </w:rPr>
        <w:tab/>
        <w:t>Group photo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2:00:   </w:t>
      </w:r>
      <w:r>
        <w:rPr>
          <w:rFonts w:ascii="Cambria" w:hAnsi="Cambria"/>
          <w:color w:val="0E002D"/>
          <w:sz w:val="24"/>
          <w:szCs w:val="24"/>
        </w:rPr>
        <w:tab/>
        <w:t>Henry Maguire, “The Cross in Byzantine Painting”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2:40:   </w:t>
      </w:r>
      <w:r>
        <w:rPr>
          <w:rFonts w:ascii="Cambria" w:hAnsi="Cambria"/>
          <w:color w:val="0E002D"/>
          <w:sz w:val="24"/>
          <w:szCs w:val="24"/>
        </w:rPr>
        <w:tab/>
        <w:t>Scott Johnson, “The True Cross in Late Antique and       Byzantine Literature”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3:20:   </w:t>
      </w:r>
      <w:r>
        <w:rPr>
          <w:rFonts w:ascii="Cambria" w:hAnsi="Cambria"/>
          <w:color w:val="0E002D"/>
          <w:sz w:val="24"/>
          <w:szCs w:val="24"/>
        </w:rPr>
        <w:tab/>
        <w:t>Tea Break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4:00:   </w:t>
      </w:r>
      <w:r>
        <w:rPr>
          <w:rFonts w:ascii="Cambria" w:hAnsi="Cambria"/>
          <w:color w:val="0E002D"/>
          <w:sz w:val="24"/>
          <w:szCs w:val="24"/>
        </w:rPr>
        <w:tab/>
        <w:t>Sidney Griffith, “The Cross Between Christianity and Islam”</w:t>
      </w:r>
    </w:p>
    <w:p w:rsidR="00714AA0" w:rsidRDefault="00714AA0" w:rsidP="00714AA0">
      <w:pPr>
        <w:autoSpaceDE w:val="0"/>
        <w:autoSpaceDN w:val="0"/>
        <w:spacing w:after="0" w:line="240" w:lineRule="auto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 xml:space="preserve">4:40:   </w:t>
      </w:r>
      <w:r>
        <w:rPr>
          <w:rFonts w:ascii="Cambria" w:hAnsi="Cambria"/>
          <w:color w:val="0E002D"/>
          <w:sz w:val="24"/>
          <w:szCs w:val="24"/>
        </w:rPr>
        <w:tab/>
        <w:t>Round Table Discussion by speakers</w:t>
      </w:r>
    </w:p>
    <w:p w:rsidR="00714AA0" w:rsidRDefault="00714AA0" w:rsidP="00714AA0">
      <w:pPr>
        <w:autoSpaceDE w:val="0"/>
        <w:autoSpaceDN w:val="0"/>
        <w:spacing w:after="0" w:line="240" w:lineRule="auto"/>
        <w:ind w:left="720" w:hanging="720"/>
        <w:rPr>
          <w:rFonts w:ascii="Cambria" w:hAnsi="Cambria"/>
          <w:color w:val="0E002D"/>
          <w:sz w:val="24"/>
          <w:szCs w:val="24"/>
        </w:rPr>
      </w:pPr>
      <w:r>
        <w:rPr>
          <w:rFonts w:ascii="Cambria" w:hAnsi="Cambria"/>
          <w:color w:val="0E002D"/>
          <w:sz w:val="24"/>
          <w:szCs w:val="24"/>
        </w:rPr>
        <w:t>5:05:  </w:t>
      </w:r>
      <w:r>
        <w:rPr>
          <w:rFonts w:ascii="Cambria" w:hAnsi="Cambria"/>
          <w:color w:val="0E002D"/>
          <w:sz w:val="24"/>
          <w:szCs w:val="24"/>
        </w:rPr>
        <w:tab/>
        <w:t xml:space="preserve"> Concluding Remarks: </w:t>
      </w:r>
      <w:proofErr w:type="spellStart"/>
      <w:r>
        <w:rPr>
          <w:rFonts w:ascii="Cambria" w:hAnsi="Cambria"/>
          <w:color w:val="0E002D"/>
          <w:sz w:val="24"/>
          <w:szCs w:val="24"/>
        </w:rPr>
        <w:t>Örgü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E002D"/>
          <w:sz w:val="24"/>
          <w:szCs w:val="24"/>
        </w:rPr>
        <w:t>Dalgiç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 and Jack </w:t>
      </w:r>
      <w:proofErr w:type="spellStart"/>
      <w:r>
        <w:rPr>
          <w:rFonts w:ascii="Cambria" w:hAnsi="Cambria"/>
          <w:color w:val="0E002D"/>
          <w:sz w:val="24"/>
          <w:szCs w:val="24"/>
        </w:rPr>
        <w:t>Tannous</w:t>
      </w:r>
      <w:proofErr w:type="spellEnd"/>
      <w:r>
        <w:rPr>
          <w:rFonts w:ascii="Cambria" w:hAnsi="Cambria"/>
          <w:color w:val="0E002D"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sectPr w:rsidR="00714AA0" w:rsidSect="00606A17">
      <w:pgSz w:w="15840" w:h="12240" w:orient="landscape"/>
      <w:pgMar w:top="1170" w:right="810" w:bottom="720" w:left="72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A0"/>
    <w:rsid w:val="001978DF"/>
    <w:rsid w:val="001A7AAE"/>
    <w:rsid w:val="00263E89"/>
    <w:rsid w:val="003331C1"/>
    <w:rsid w:val="00606A17"/>
    <w:rsid w:val="007006D9"/>
    <w:rsid w:val="00714AA0"/>
    <w:rsid w:val="00956201"/>
    <w:rsid w:val="00A85419"/>
    <w:rsid w:val="00B922FB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A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A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BarbaraP</dc:creator>
  <cp:lastModifiedBy>Alec Luhring</cp:lastModifiedBy>
  <cp:revision>2</cp:revision>
  <cp:lastPrinted>2011-03-23T15:21:00Z</cp:lastPrinted>
  <dcterms:created xsi:type="dcterms:W3CDTF">2013-06-03T20:45:00Z</dcterms:created>
  <dcterms:modified xsi:type="dcterms:W3CDTF">2013-06-03T20:45:00Z</dcterms:modified>
</cp:coreProperties>
</file>